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2A7AC" w14:textId="22B1F550" w:rsidR="008D0E37" w:rsidRPr="008D0E37" w:rsidRDefault="008D0E37" w:rsidP="008D0E37">
      <w:pPr>
        <w:ind w:left="720"/>
        <w:rPr>
          <w:rFonts w:ascii="Book Antiqua" w:hAnsi="Book Antiqua"/>
          <w:b/>
          <w:bCs/>
          <w:u w:val="single"/>
        </w:rPr>
      </w:pPr>
      <w:r w:rsidRPr="008D0E37">
        <w:rPr>
          <w:rFonts w:ascii="Book Antiqua" w:hAnsi="Book Antiqua"/>
          <w:b/>
          <w:bCs/>
          <w:u w:val="single"/>
        </w:rPr>
        <w:t>Corporate Action - List of Documents</w:t>
      </w:r>
      <w:r w:rsidRPr="008D0E37">
        <w:rPr>
          <w:rFonts w:ascii="Book Antiqua" w:hAnsi="Book Antiqua"/>
          <w:b/>
          <w:bCs/>
          <w:u w:val="single"/>
        </w:rPr>
        <w:t xml:space="preserve"> – </w:t>
      </w:r>
      <w:r w:rsidRPr="008D0E37">
        <w:rPr>
          <w:rFonts w:ascii="Book Antiqua" w:hAnsi="Book Antiqua"/>
          <w:b/>
          <w:bCs/>
          <w:u w:val="single"/>
        </w:rPr>
        <w:t>Demerger</w:t>
      </w:r>
    </w:p>
    <w:p w14:paraId="100688DC" w14:textId="77777777" w:rsidR="008D0E37" w:rsidRPr="008D0E37" w:rsidRDefault="008D0E37" w:rsidP="008D0E37">
      <w:pPr>
        <w:ind w:left="720"/>
        <w:rPr>
          <w:rFonts w:ascii="Book Antiqua" w:hAnsi="Book Antiqua"/>
        </w:rPr>
      </w:pPr>
    </w:p>
    <w:p w14:paraId="54304BBC" w14:textId="77777777" w:rsidR="008D0E37" w:rsidRPr="008D0E37" w:rsidRDefault="008D0E37" w:rsidP="008D0E37">
      <w:pPr>
        <w:numPr>
          <w:ilvl w:val="0"/>
          <w:numId w:val="3"/>
        </w:numPr>
        <w:rPr>
          <w:rFonts w:ascii="Book Antiqua" w:hAnsi="Book Antiqua"/>
        </w:rPr>
      </w:pPr>
      <w:r w:rsidRPr="008D0E37">
        <w:rPr>
          <w:rFonts w:ascii="Book Antiqua" w:hAnsi="Book Antiqua"/>
        </w:rPr>
        <w:t>Certified true copy of the order of the High Court approving the scheme.</w:t>
      </w:r>
    </w:p>
    <w:p w14:paraId="5BD64DAD" w14:textId="77777777" w:rsidR="008D0E37" w:rsidRPr="008D0E37" w:rsidRDefault="008D0E37" w:rsidP="008D0E37">
      <w:pPr>
        <w:numPr>
          <w:ilvl w:val="0"/>
          <w:numId w:val="3"/>
        </w:numPr>
        <w:rPr>
          <w:rFonts w:ascii="Book Antiqua" w:hAnsi="Book Antiqua"/>
        </w:rPr>
      </w:pPr>
      <w:r w:rsidRPr="008D0E37">
        <w:rPr>
          <w:rFonts w:ascii="Book Antiqua" w:hAnsi="Book Antiqua"/>
        </w:rPr>
        <w:t>Certified true copy of the Shareholders’ Resolution approving the scheme</w:t>
      </w:r>
    </w:p>
    <w:p w14:paraId="476ED2A5" w14:textId="77777777" w:rsidR="008D0E37" w:rsidRPr="008D0E37" w:rsidRDefault="008D0E37" w:rsidP="008D0E37">
      <w:pPr>
        <w:numPr>
          <w:ilvl w:val="0"/>
          <w:numId w:val="3"/>
        </w:numPr>
        <w:rPr>
          <w:rFonts w:ascii="Book Antiqua" w:hAnsi="Book Antiqua"/>
        </w:rPr>
      </w:pPr>
      <w:r w:rsidRPr="008D0E37">
        <w:rPr>
          <w:rFonts w:ascii="Book Antiqua" w:hAnsi="Book Antiqua"/>
        </w:rPr>
        <w:t>Copy of the letter / circular of the stock exchange confirming / notifying the record date. In case the company is unlisted, copy of letter / notice sent to the shareholders informing them about the record date</w:t>
      </w:r>
    </w:p>
    <w:p w14:paraId="0193D3E5" w14:textId="77777777" w:rsidR="008D0E37" w:rsidRPr="008D0E37" w:rsidRDefault="008D0E37" w:rsidP="008D0E37">
      <w:pPr>
        <w:numPr>
          <w:ilvl w:val="0"/>
          <w:numId w:val="3"/>
        </w:numPr>
        <w:rPr>
          <w:rFonts w:ascii="Book Antiqua" w:hAnsi="Book Antiqua"/>
        </w:rPr>
      </w:pPr>
      <w:r w:rsidRPr="008D0E37">
        <w:rPr>
          <w:rFonts w:ascii="Book Antiqua" w:hAnsi="Book Antiqua"/>
        </w:rPr>
        <w:t>Certified true copy of the Board Resolution for allotment of new shares.</w:t>
      </w:r>
    </w:p>
    <w:p w14:paraId="1F34A467" w14:textId="77777777" w:rsidR="008D0E37" w:rsidRPr="008D0E37" w:rsidRDefault="008D0E37" w:rsidP="008D0E37">
      <w:pPr>
        <w:numPr>
          <w:ilvl w:val="0"/>
          <w:numId w:val="3"/>
        </w:numPr>
        <w:rPr>
          <w:rFonts w:ascii="Book Antiqua" w:hAnsi="Book Antiqua"/>
        </w:rPr>
      </w:pPr>
      <w:r w:rsidRPr="008D0E37">
        <w:rPr>
          <w:rFonts w:ascii="Book Antiqua" w:hAnsi="Book Antiqua"/>
        </w:rPr>
        <w:t xml:space="preserve">Copies of the letters of “in-principle” listing approvals of the stock exchanges obtained after completion of all listing formalities except credit of shares directly in dematerialized form and / or dispatch of physical certificates (Ref. SEBI Circular No. SMDRP/Policy/Cir-15/2001 dated March 8, 2001 and MRD/Policy/Cir – 35/2003/29/09 dated September 29, 2003, in terms of which, the company agrees to obtain ‘in-principle’ approval for listing from the exchanges having nationwide trading terminals where it is listed, before issuing further shares or securities. Where the company is not listed on any exchange having nationwide trading terminals, it agrees to obtain such ‘in-principle’ approval from all the exchanges in which it is listed before issuing further shares or securities). In case the company is unlisted, copy of Form No. 2 (return of allotment) filed by the company with the Registrar of Companies </w:t>
      </w:r>
      <w:proofErr w:type="spellStart"/>
      <w:r w:rsidRPr="008D0E37">
        <w:rPr>
          <w:rFonts w:ascii="Book Antiqua" w:hAnsi="Book Antiqua"/>
        </w:rPr>
        <w:t>alongwith</w:t>
      </w:r>
      <w:proofErr w:type="spellEnd"/>
      <w:r w:rsidRPr="008D0E37">
        <w:rPr>
          <w:rFonts w:ascii="Book Antiqua" w:hAnsi="Book Antiqua"/>
        </w:rPr>
        <w:t xml:space="preserve"> copy of ROC counter receipt.</w:t>
      </w:r>
    </w:p>
    <w:p w14:paraId="4193BD57" w14:textId="77777777" w:rsidR="008D0E37" w:rsidRPr="008D0E37" w:rsidRDefault="008D0E37" w:rsidP="008D0E37">
      <w:pPr>
        <w:numPr>
          <w:ilvl w:val="0"/>
          <w:numId w:val="3"/>
        </w:numPr>
        <w:rPr>
          <w:rFonts w:ascii="Book Antiqua" w:hAnsi="Book Antiqua"/>
        </w:rPr>
      </w:pPr>
      <w:r w:rsidRPr="008D0E37">
        <w:rPr>
          <w:rFonts w:ascii="Book Antiqua" w:hAnsi="Book Antiqua"/>
        </w:rPr>
        <w:t>Corporate Action Information Form (for shares) duly filled in (format enclosed). </w:t>
      </w:r>
      <w:hyperlink r:id="rId5" w:history="1">
        <w:r w:rsidRPr="008D0E37">
          <w:rPr>
            <w:rStyle w:val="Hyperlink"/>
            <w:rFonts w:ascii="Book Antiqua" w:hAnsi="Book Antiqua"/>
            <w:i/>
            <w:iCs/>
            <w:u w:val="none"/>
          </w:rPr>
          <w:t>Download</w:t>
        </w:r>
      </w:hyperlink>
    </w:p>
    <w:p w14:paraId="5BD3813E" w14:textId="77777777" w:rsidR="008D0E37" w:rsidRPr="008D0E37" w:rsidRDefault="008D0E37" w:rsidP="008D0E37">
      <w:pPr>
        <w:numPr>
          <w:ilvl w:val="0"/>
          <w:numId w:val="3"/>
        </w:numPr>
        <w:rPr>
          <w:rFonts w:ascii="Book Antiqua" w:hAnsi="Book Antiqua"/>
        </w:rPr>
      </w:pPr>
      <w:r w:rsidRPr="008D0E37">
        <w:rPr>
          <w:rFonts w:ascii="Book Antiqua" w:hAnsi="Book Antiqua"/>
        </w:rPr>
        <w:t>For debits/credits to accounts in NSDL system, Demand Draft / Cheque payable at Mumbai towards corporate action fee @ Rs.10/- per record subject to minimum of Rs.1000/- plus GST at 18 % (e.g. minimum fee including tax is Rs.1180/-).</w:t>
      </w:r>
    </w:p>
    <w:p w14:paraId="5C120662" w14:textId="77777777" w:rsidR="008D0E37" w:rsidRPr="008D0E37" w:rsidRDefault="008D0E37" w:rsidP="008D0E37">
      <w:pPr>
        <w:numPr>
          <w:ilvl w:val="0"/>
          <w:numId w:val="3"/>
        </w:numPr>
        <w:rPr>
          <w:rFonts w:ascii="Book Antiqua" w:hAnsi="Book Antiqua"/>
        </w:rPr>
      </w:pPr>
      <w:r w:rsidRPr="008D0E37">
        <w:rPr>
          <w:rFonts w:ascii="Book Antiqua" w:hAnsi="Book Antiqua"/>
        </w:rPr>
        <w:t>Document Processing fee of Rs. 250/- plus GST @18% for unlisted company and Rs. 20,000/- plus GST @18% for listed company.</w:t>
      </w:r>
    </w:p>
    <w:p w14:paraId="3A8BB5CB" w14:textId="77777777" w:rsidR="008D0E37" w:rsidRPr="008D0E37" w:rsidRDefault="008D0E37" w:rsidP="008D0E37">
      <w:pPr>
        <w:numPr>
          <w:ilvl w:val="0"/>
          <w:numId w:val="3"/>
        </w:numPr>
        <w:rPr>
          <w:rFonts w:ascii="Book Antiqua" w:hAnsi="Book Antiqua"/>
        </w:rPr>
      </w:pPr>
      <w:r w:rsidRPr="008D0E37">
        <w:rPr>
          <w:rFonts w:ascii="Book Antiqua" w:hAnsi="Book Antiqua"/>
        </w:rPr>
        <w:t>Confirmation stating that the new shares are pari-passu in all respects with the existing shares. (As per SEBI circular No. SMDRP/NSDL/3254/00 dated February 18, 2000, shares issued by companies should be pari-passu in all respects and the same ISIN number should be allotted).</w:t>
      </w:r>
    </w:p>
    <w:p w14:paraId="1CC9FE92" w14:textId="77777777" w:rsidR="008D0E37" w:rsidRPr="008D0E37" w:rsidRDefault="008D0E37" w:rsidP="008D0E37">
      <w:pPr>
        <w:numPr>
          <w:ilvl w:val="0"/>
          <w:numId w:val="3"/>
        </w:numPr>
        <w:rPr>
          <w:rFonts w:ascii="Book Antiqua" w:hAnsi="Book Antiqua"/>
        </w:rPr>
      </w:pPr>
      <w:r w:rsidRPr="008D0E37">
        <w:rPr>
          <w:rFonts w:ascii="Book Antiqua" w:hAnsi="Book Antiqua"/>
        </w:rPr>
        <w:lastRenderedPageBreak/>
        <w:t>Copy of the latest Reconciliation of Share Capital Audit Report submitted to stock exchanges.</w:t>
      </w:r>
    </w:p>
    <w:p w14:paraId="0C37E801" w14:textId="77777777" w:rsidR="008D0E37" w:rsidRPr="008D0E37" w:rsidRDefault="008D0E37" w:rsidP="008D0E37">
      <w:pPr>
        <w:numPr>
          <w:ilvl w:val="0"/>
          <w:numId w:val="3"/>
        </w:numPr>
        <w:rPr>
          <w:rFonts w:ascii="Book Antiqua" w:hAnsi="Book Antiqua"/>
        </w:rPr>
      </w:pPr>
      <w:r w:rsidRPr="008D0E37">
        <w:rPr>
          <w:rFonts w:ascii="Book Antiqua" w:hAnsi="Book Antiqua"/>
        </w:rPr>
        <w:t>List of documents mentioned in the enclosed Annexure for joining NSDL to be given by the new company (if not joined already).</w:t>
      </w:r>
    </w:p>
    <w:p w14:paraId="57CC3458" w14:textId="77777777" w:rsidR="008D0E37" w:rsidRPr="008D0E37" w:rsidRDefault="008D0E37" w:rsidP="008D0E37">
      <w:pPr>
        <w:ind w:left="720"/>
        <w:rPr>
          <w:rFonts w:ascii="Book Antiqua" w:hAnsi="Book Antiqua"/>
        </w:rPr>
      </w:pPr>
      <w:r w:rsidRPr="008D0E37">
        <w:rPr>
          <w:rFonts w:ascii="Book Antiqua" w:hAnsi="Book Antiqua"/>
        </w:rPr>
        <w:t>Note:  Documents mentioned in point no. 1, 2, 3, 8 and 9 have to be submitted </w:t>
      </w:r>
      <w:proofErr w:type="spellStart"/>
      <w:r w:rsidRPr="008D0E37">
        <w:rPr>
          <w:rFonts w:ascii="Book Antiqua" w:hAnsi="Book Antiqua"/>
        </w:rPr>
        <w:t>atleast</w:t>
      </w:r>
      <w:proofErr w:type="spellEnd"/>
      <w:r w:rsidRPr="008D0E37">
        <w:rPr>
          <w:rFonts w:ascii="Book Antiqua" w:hAnsi="Book Antiqua"/>
        </w:rPr>
        <w:t xml:space="preserve"> ten days before the record date and the document mentioned at point no. 10 at the earliest.</w:t>
      </w:r>
    </w:p>
    <w:p w14:paraId="0BB66010" w14:textId="77777777" w:rsidR="008D0E37" w:rsidRPr="008D0E37" w:rsidRDefault="008D0E37" w:rsidP="008D0E37">
      <w:pPr>
        <w:ind w:left="720"/>
        <w:rPr>
          <w:rFonts w:ascii="Book Antiqua" w:hAnsi="Book Antiqua"/>
        </w:rPr>
      </w:pPr>
    </w:p>
    <w:p w14:paraId="694B8133" w14:textId="77777777" w:rsidR="008D0E37" w:rsidRPr="008D0E37" w:rsidRDefault="008D0E37" w:rsidP="008D0E37">
      <w:pPr>
        <w:rPr>
          <w:rFonts w:ascii="Book Antiqua" w:hAnsi="Book Antiqua"/>
        </w:rPr>
      </w:pPr>
    </w:p>
    <w:sectPr w:rsidR="008D0E37" w:rsidRPr="008D0E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7F372C"/>
    <w:multiLevelType w:val="multilevel"/>
    <w:tmpl w:val="91B6734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F405ADF"/>
    <w:multiLevelType w:val="multilevel"/>
    <w:tmpl w:val="BD282A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2BE5C61"/>
    <w:multiLevelType w:val="multilevel"/>
    <w:tmpl w:val="86CCC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6750558">
    <w:abstractNumId w:val="0"/>
  </w:num>
  <w:num w:numId="2" w16cid:durableId="1014571727">
    <w:abstractNumId w:val="2"/>
  </w:num>
  <w:num w:numId="3" w16cid:durableId="1325621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E37"/>
    <w:rsid w:val="008D0E37"/>
    <w:rsid w:val="00A83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51755"/>
  <w15:chartTrackingRefBased/>
  <w15:docId w15:val="{06557401-5D24-4381-A418-1E10AEEEF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0E3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D0E3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D0E3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8D0E3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D0E3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D0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0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0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0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0E3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D0E3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D0E3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8D0E3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D0E3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D0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0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0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0E37"/>
    <w:rPr>
      <w:rFonts w:eastAsiaTheme="majorEastAsia" w:cstheme="majorBidi"/>
      <w:color w:val="272727" w:themeColor="text1" w:themeTint="D8"/>
    </w:rPr>
  </w:style>
  <w:style w:type="paragraph" w:styleId="Title">
    <w:name w:val="Title"/>
    <w:basedOn w:val="Normal"/>
    <w:next w:val="Normal"/>
    <w:link w:val="TitleChar"/>
    <w:uiPriority w:val="10"/>
    <w:qFormat/>
    <w:rsid w:val="008D0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0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0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0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0E37"/>
    <w:pPr>
      <w:spacing w:before="160"/>
      <w:jc w:val="center"/>
    </w:pPr>
    <w:rPr>
      <w:i/>
      <w:iCs/>
      <w:color w:val="404040" w:themeColor="text1" w:themeTint="BF"/>
    </w:rPr>
  </w:style>
  <w:style w:type="character" w:customStyle="1" w:styleId="QuoteChar">
    <w:name w:val="Quote Char"/>
    <w:basedOn w:val="DefaultParagraphFont"/>
    <w:link w:val="Quote"/>
    <w:uiPriority w:val="29"/>
    <w:rsid w:val="008D0E37"/>
    <w:rPr>
      <w:i/>
      <w:iCs/>
      <w:color w:val="404040" w:themeColor="text1" w:themeTint="BF"/>
    </w:rPr>
  </w:style>
  <w:style w:type="paragraph" w:styleId="ListParagraph">
    <w:name w:val="List Paragraph"/>
    <w:basedOn w:val="Normal"/>
    <w:uiPriority w:val="34"/>
    <w:qFormat/>
    <w:rsid w:val="008D0E37"/>
    <w:pPr>
      <w:ind w:left="720"/>
      <w:contextualSpacing/>
    </w:pPr>
  </w:style>
  <w:style w:type="character" w:styleId="IntenseEmphasis">
    <w:name w:val="Intense Emphasis"/>
    <w:basedOn w:val="DefaultParagraphFont"/>
    <w:uiPriority w:val="21"/>
    <w:qFormat/>
    <w:rsid w:val="008D0E37"/>
    <w:rPr>
      <w:i/>
      <w:iCs/>
      <w:color w:val="2F5496" w:themeColor="accent1" w:themeShade="BF"/>
    </w:rPr>
  </w:style>
  <w:style w:type="paragraph" w:styleId="IntenseQuote">
    <w:name w:val="Intense Quote"/>
    <w:basedOn w:val="Normal"/>
    <w:next w:val="Normal"/>
    <w:link w:val="IntenseQuoteChar"/>
    <w:uiPriority w:val="30"/>
    <w:qFormat/>
    <w:rsid w:val="008D0E3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D0E37"/>
    <w:rPr>
      <w:i/>
      <w:iCs/>
      <w:color w:val="2F5496" w:themeColor="accent1" w:themeShade="BF"/>
    </w:rPr>
  </w:style>
  <w:style w:type="character" w:styleId="IntenseReference">
    <w:name w:val="Intense Reference"/>
    <w:basedOn w:val="DefaultParagraphFont"/>
    <w:uiPriority w:val="32"/>
    <w:qFormat/>
    <w:rsid w:val="008D0E37"/>
    <w:rPr>
      <w:b/>
      <w:bCs/>
      <w:smallCaps/>
      <w:color w:val="2F5496" w:themeColor="accent1" w:themeShade="BF"/>
      <w:spacing w:val="5"/>
    </w:rPr>
  </w:style>
  <w:style w:type="character" w:styleId="Hyperlink">
    <w:name w:val="Hyperlink"/>
    <w:basedOn w:val="DefaultParagraphFont"/>
    <w:uiPriority w:val="99"/>
    <w:unhideWhenUsed/>
    <w:rsid w:val="008D0E37"/>
    <w:rPr>
      <w:color w:val="0563C1" w:themeColor="hyperlink"/>
      <w:u w:val="single"/>
    </w:rPr>
  </w:style>
  <w:style w:type="character" w:styleId="UnresolvedMention">
    <w:name w:val="Unresolved Mention"/>
    <w:basedOn w:val="DefaultParagraphFont"/>
    <w:uiPriority w:val="99"/>
    <w:semiHidden/>
    <w:unhideWhenUsed/>
    <w:rsid w:val="008D0E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ssuer.nsdl.com/docs/Demerger.zi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390</Words>
  <Characters>2228</Characters>
  <Application>Microsoft Office Word</Application>
  <DocSecurity>0</DocSecurity>
  <Lines>18</Lines>
  <Paragraphs>5</Paragraphs>
  <ScaleCrop>false</ScaleCrop>
  <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Mehak</dc:creator>
  <cp:keywords/>
  <dc:description/>
  <cp:lastModifiedBy>Mehak</cp:lastModifiedBy>
  <cp:revision>1</cp:revision>
  <dcterms:created xsi:type="dcterms:W3CDTF">2026-04-27T11:07:00Z</dcterms:created>
  <dcterms:modified xsi:type="dcterms:W3CDTF">2026-04-27T11:16:00Z</dcterms:modified>
</cp:coreProperties>
</file>